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E38" w:rsidRDefault="00AF3E38" w:rsidP="00AF3E38">
      <w:pPr>
        <w:spacing w:line="480" w:lineRule="auto"/>
        <w:jc w:val="center"/>
      </w:pPr>
    </w:p>
    <w:p w:rsidR="00AF3E38" w:rsidRDefault="00AF3E38" w:rsidP="00AF3E38">
      <w:pPr>
        <w:spacing w:line="480" w:lineRule="auto"/>
        <w:jc w:val="center"/>
      </w:pPr>
    </w:p>
    <w:p w:rsidR="00AF3E38" w:rsidRDefault="00AF3E38" w:rsidP="00AF3E38">
      <w:pPr>
        <w:spacing w:line="480" w:lineRule="auto"/>
        <w:jc w:val="center"/>
      </w:pPr>
    </w:p>
    <w:p w:rsidR="00AF3E38" w:rsidRDefault="00AF3E38" w:rsidP="00AF3E38">
      <w:pPr>
        <w:spacing w:line="480" w:lineRule="auto"/>
        <w:jc w:val="center"/>
      </w:pPr>
    </w:p>
    <w:p w:rsidR="00AF3E38" w:rsidRDefault="00AF3E38" w:rsidP="00AF3E38">
      <w:pPr>
        <w:spacing w:line="480" w:lineRule="auto"/>
        <w:jc w:val="center"/>
      </w:pPr>
    </w:p>
    <w:p w:rsidR="00AF3E38" w:rsidRDefault="00AF3E38" w:rsidP="00AF3E38">
      <w:pPr>
        <w:spacing w:line="480" w:lineRule="auto"/>
        <w:jc w:val="center"/>
      </w:pPr>
    </w:p>
    <w:p w:rsidR="00AF3E38" w:rsidRDefault="00AF3E38" w:rsidP="00AF3E38">
      <w:pPr>
        <w:spacing w:line="480" w:lineRule="auto"/>
        <w:jc w:val="center"/>
      </w:pPr>
    </w:p>
    <w:p w:rsidR="00AF3E38" w:rsidRDefault="00AF3E38" w:rsidP="00AF3E38">
      <w:pPr>
        <w:spacing w:line="480" w:lineRule="auto"/>
        <w:jc w:val="center"/>
      </w:pPr>
    </w:p>
    <w:p w:rsidR="00AF3E38" w:rsidRDefault="00AF3E38" w:rsidP="00AF3E38">
      <w:pPr>
        <w:spacing w:line="480" w:lineRule="auto"/>
        <w:jc w:val="center"/>
      </w:pPr>
    </w:p>
    <w:p w:rsidR="006C43B9" w:rsidRDefault="00852EAD" w:rsidP="00AF3E38">
      <w:pPr>
        <w:spacing w:line="480" w:lineRule="auto"/>
        <w:jc w:val="center"/>
      </w:pPr>
      <w:r>
        <w:t>Article Review</w:t>
      </w:r>
    </w:p>
    <w:p w:rsidR="00AF3E38" w:rsidRDefault="00852EAD" w:rsidP="00AF3E38">
      <w:pPr>
        <w:spacing w:line="480" w:lineRule="auto"/>
        <w:jc w:val="center"/>
      </w:pPr>
      <w:r>
        <w:t xml:space="preserve">Name </w:t>
      </w:r>
    </w:p>
    <w:p w:rsidR="00AF3E38" w:rsidRDefault="00852EAD" w:rsidP="00AF3E38">
      <w:pPr>
        <w:spacing w:line="480" w:lineRule="auto"/>
        <w:jc w:val="center"/>
      </w:pPr>
      <w:r>
        <w:t xml:space="preserve">Institution </w:t>
      </w:r>
      <w:bookmarkStart w:id="0" w:name="_GoBack"/>
      <w:bookmarkEnd w:id="0"/>
    </w:p>
    <w:p w:rsidR="00AF3E38" w:rsidRDefault="00852EAD" w:rsidP="00AF3E38">
      <w:pPr>
        <w:spacing w:line="480" w:lineRule="auto"/>
        <w:jc w:val="center"/>
      </w:pPr>
      <w:r>
        <w:t xml:space="preserve">Date  </w:t>
      </w:r>
    </w:p>
    <w:p w:rsidR="00AF3E38" w:rsidRDefault="00AF3E38" w:rsidP="00AF3E38">
      <w:pPr>
        <w:spacing w:line="480" w:lineRule="auto"/>
        <w:jc w:val="center"/>
      </w:pPr>
    </w:p>
    <w:p w:rsidR="00AF3E38" w:rsidRDefault="00AF3E38" w:rsidP="00AF3E38">
      <w:pPr>
        <w:spacing w:line="480" w:lineRule="auto"/>
        <w:jc w:val="center"/>
      </w:pPr>
    </w:p>
    <w:p w:rsidR="00AF3E38" w:rsidRDefault="00AF3E38" w:rsidP="00AF3E38">
      <w:pPr>
        <w:spacing w:line="480" w:lineRule="auto"/>
        <w:jc w:val="center"/>
      </w:pPr>
    </w:p>
    <w:p w:rsidR="00AF3E38" w:rsidRDefault="00AF3E38" w:rsidP="00AF3E38">
      <w:pPr>
        <w:spacing w:line="480" w:lineRule="auto"/>
        <w:jc w:val="center"/>
      </w:pPr>
    </w:p>
    <w:p w:rsidR="00AF3E38" w:rsidRDefault="00AF3E38" w:rsidP="00AF3E38">
      <w:pPr>
        <w:spacing w:line="480" w:lineRule="auto"/>
        <w:jc w:val="center"/>
      </w:pPr>
    </w:p>
    <w:p w:rsidR="00AF3E38" w:rsidRDefault="00852EAD" w:rsidP="00AF3E38">
      <w:pPr>
        <w:spacing w:line="480" w:lineRule="auto"/>
        <w:jc w:val="center"/>
      </w:pPr>
      <w:r>
        <w:lastRenderedPageBreak/>
        <w:t>Article Review</w:t>
      </w:r>
    </w:p>
    <w:p w:rsidR="00CA0FBE" w:rsidRPr="007049F6" w:rsidRDefault="00852EAD" w:rsidP="00AF3E38">
      <w:pPr>
        <w:spacing w:line="480" w:lineRule="auto"/>
        <w:rPr>
          <w:b/>
          <w:szCs w:val="24"/>
          <w:shd w:val="clear" w:color="auto" w:fill="FFFFFF"/>
        </w:rPr>
      </w:pPr>
      <w:r w:rsidRPr="007049F6">
        <w:rPr>
          <w:b/>
          <w:szCs w:val="24"/>
          <w:shd w:val="clear" w:color="auto" w:fill="FFFFFF"/>
        </w:rPr>
        <w:t xml:space="preserve">Canovas III, P. A., &amp; Shock, E. L. (2016). Geobiochemistry of metabolism: Standard state </w:t>
      </w:r>
    </w:p>
    <w:p w:rsidR="00CA0FBE" w:rsidRDefault="00852EAD" w:rsidP="00AF3E38">
      <w:pPr>
        <w:spacing w:line="480" w:lineRule="auto"/>
        <w:ind w:left="720"/>
        <w:rPr>
          <w:szCs w:val="24"/>
          <w:shd w:val="clear" w:color="auto" w:fill="FFFFFF"/>
        </w:rPr>
      </w:pPr>
      <w:r w:rsidRPr="007049F6">
        <w:rPr>
          <w:b/>
          <w:szCs w:val="24"/>
          <w:shd w:val="clear" w:color="auto" w:fill="FFFFFF"/>
        </w:rPr>
        <w:t>thermodynamic properties of the citric acid cycle. </w:t>
      </w:r>
      <w:r w:rsidRPr="007049F6">
        <w:rPr>
          <w:b/>
          <w:i/>
          <w:iCs/>
          <w:szCs w:val="24"/>
          <w:shd w:val="clear" w:color="auto" w:fill="FFFFFF"/>
        </w:rPr>
        <w:t>GeochimicaetCosmochimicaActa</w:t>
      </w:r>
      <w:r w:rsidRPr="007049F6">
        <w:rPr>
          <w:b/>
          <w:szCs w:val="24"/>
          <w:shd w:val="clear" w:color="auto" w:fill="FFFFFF"/>
        </w:rPr>
        <w:t>, </w:t>
      </w:r>
      <w:r w:rsidRPr="007049F6">
        <w:rPr>
          <w:b/>
          <w:i/>
          <w:iCs/>
          <w:szCs w:val="24"/>
          <w:shd w:val="clear" w:color="auto" w:fill="FFFFFF"/>
        </w:rPr>
        <w:t>195</w:t>
      </w:r>
      <w:r w:rsidRPr="007049F6">
        <w:rPr>
          <w:b/>
          <w:szCs w:val="24"/>
          <w:shd w:val="clear" w:color="auto" w:fill="FFFFFF"/>
        </w:rPr>
        <w:t>, 293-322.</w:t>
      </w:r>
    </w:p>
    <w:p w:rsidR="00AF3E38" w:rsidRPr="00AF3E38" w:rsidRDefault="00852EAD" w:rsidP="00AF3E38">
      <w:pPr>
        <w:spacing w:line="480" w:lineRule="auto"/>
        <w:ind w:firstLine="720"/>
        <w:jc w:val="center"/>
        <w:rPr>
          <w:b/>
          <w:szCs w:val="24"/>
          <w:shd w:val="clear" w:color="auto" w:fill="FFFFFF"/>
        </w:rPr>
      </w:pPr>
      <w:r w:rsidRPr="00AF3E38">
        <w:rPr>
          <w:b/>
          <w:szCs w:val="24"/>
          <w:shd w:val="clear" w:color="auto" w:fill="FFFFFF"/>
        </w:rPr>
        <w:t>Introduction</w:t>
      </w:r>
    </w:p>
    <w:p w:rsidR="00AF3E38" w:rsidRDefault="00852EAD" w:rsidP="00AF3E38">
      <w:pPr>
        <w:spacing w:line="480" w:lineRule="auto"/>
        <w:ind w:firstLine="720"/>
        <w:rPr>
          <w:szCs w:val="24"/>
          <w:shd w:val="clear" w:color="auto" w:fill="FFFFFF"/>
        </w:rPr>
      </w:pPr>
      <w:r>
        <w:rPr>
          <w:szCs w:val="24"/>
          <w:shd w:val="clear" w:color="auto" w:fill="FFFFFF"/>
        </w:rPr>
        <w:t xml:space="preserve">The </w:t>
      </w:r>
      <w:r w:rsidR="00486485">
        <w:rPr>
          <w:szCs w:val="24"/>
          <w:shd w:val="clear" w:color="auto" w:fill="FFFFFF"/>
        </w:rPr>
        <w:t xml:space="preserve">article describes the </w:t>
      </w:r>
      <w:r>
        <w:rPr>
          <w:szCs w:val="24"/>
          <w:shd w:val="clear" w:color="auto" w:fill="FFFFFF"/>
        </w:rPr>
        <w:t>approach o</w:t>
      </w:r>
      <w:r w:rsidR="00486485">
        <w:rPr>
          <w:szCs w:val="24"/>
          <w:shd w:val="clear" w:color="auto" w:fill="FFFFFF"/>
        </w:rPr>
        <w:t>f geochemical modeling, which is</w:t>
      </w:r>
      <w:r>
        <w:rPr>
          <w:szCs w:val="24"/>
          <w:shd w:val="clear" w:color="auto" w:fill="FFFFFF"/>
        </w:rPr>
        <w:t xml:space="preserve"> utilize</w:t>
      </w:r>
      <w:r w:rsidR="00486485">
        <w:rPr>
          <w:szCs w:val="24"/>
          <w:shd w:val="clear" w:color="auto" w:fill="FFFFFF"/>
        </w:rPr>
        <w:t>d in</w:t>
      </w:r>
      <w:r>
        <w:rPr>
          <w:szCs w:val="24"/>
          <w:shd w:val="clear" w:color="auto" w:fill="FFFFFF"/>
        </w:rPr>
        <w:t xml:space="preserve"> microbial metabolism </w:t>
      </w:r>
      <w:r w:rsidR="006C48EB">
        <w:rPr>
          <w:szCs w:val="24"/>
          <w:shd w:val="clear" w:color="auto" w:fill="FFFFFF"/>
        </w:rPr>
        <w:t>to pave the</w:t>
      </w:r>
      <w:r>
        <w:rPr>
          <w:szCs w:val="24"/>
          <w:shd w:val="clear" w:color="auto" w:fill="FFFFFF"/>
        </w:rPr>
        <w:t xml:space="preserve"> way for appraisal of mass transfer and energy between </w:t>
      </w:r>
      <w:r w:rsidR="00246557">
        <w:rPr>
          <w:szCs w:val="24"/>
          <w:shd w:val="clear" w:color="auto" w:fill="FFFFFF"/>
        </w:rPr>
        <w:t>microbial biosphere and geosphere. Demands and supply concerning energy, as well as power, can be gauged from scientific geochemical data for compounds necessary during anabolism and catabolism.</w:t>
      </w:r>
      <w:r>
        <w:rPr>
          <w:szCs w:val="24"/>
          <w:shd w:val="clear" w:color="auto" w:fill="FFFFFF"/>
        </w:rPr>
        <w:t xml:space="preserve"> The article is primarily concerned about anions and organic components used during the citric acid cycle.  </w:t>
      </w:r>
    </w:p>
    <w:p w:rsidR="00AF3E38" w:rsidRPr="00AF3E38" w:rsidRDefault="00852EAD" w:rsidP="00AF3E38">
      <w:pPr>
        <w:spacing w:line="480" w:lineRule="auto"/>
        <w:ind w:firstLine="720"/>
        <w:jc w:val="center"/>
        <w:rPr>
          <w:b/>
          <w:szCs w:val="24"/>
          <w:shd w:val="clear" w:color="auto" w:fill="FFFFFF"/>
        </w:rPr>
      </w:pPr>
      <w:r w:rsidRPr="00AF3E38">
        <w:rPr>
          <w:b/>
          <w:szCs w:val="24"/>
          <w:shd w:val="clear" w:color="auto" w:fill="FFFFFF"/>
        </w:rPr>
        <w:t>Summary analysis</w:t>
      </w:r>
    </w:p>
    <w:p w:rsidR="00AF3E38" w:rsidRPr="00AF3E38" w:rsidRDefault="00852EAD" w:rsidP="00AF3E38">
      <w:pPr>
        <w:spacing w:line="480" w:lineRule="auto"/>
        <w:ind w:firstLine="720"/>
        <w:rPr>
          <w:szCs w:val="24"/>
          <w:shd w:val="clear" w:color="auto" w:fill="FFFFFF"/>
        </w:rPr>
      </w:pPr>
      <w:r>
        <w:rPr>
          <w:szCs w:val="24"/>
          <w:shd w:val="clear" w:color="auto" w:fill="FFFFFF"/>
        </w:rPr>
        <w:t>The results</w:t>
      </w:r>
      <w:r>
        <w:rPr>
          <w:szCs w:val="24"/>
          <w:shd w:val="clear" w:color="auto" w:fill="FFFFFF"/>
        </w:rPr>
        <w:t xml:space="preserve"> presented in the article were obtained after a critique of available acceptable state thermodynamic data for acid anions and organic components </w:t>
      </w:r>
      <w:r w:rsidR="003F0C18">
        <w:rPr>
          <w:szCs w:val="24"/>
          <w:shd w:val="clear" w:color="auto" w:fill="FFFFFF"/>
        </w:rPr>
        <w:t>used during the citric acid cycle</w:t>
      </w:r>
      <w:r>
        <w:rPr>
          <w:szCs w:val="24"/>
          <w:shd w:val="clear" w:color="auto" w:fill="FFFFFF"/>
        </w:rPr>
        <w:t xml:space="preserve"> (</w:t>
      </w:r>
      <w:r w:rsidRPr="00CA0FBE">
        <w:rPr>
          <w:szCs w:val="24"/>
          <w:shd w:val="clear" w:color="auto" w:fill="FFFFFF"/>
        </w:rPr>
        <w:t>Cano</w:t>
      </w:r>
      <w:r>
        <w:rPr>
          <w:szCs w:val="24"/>
          <w:shd w:val="clear" w:color="auto" w:fill="FFFFFF"/>
        </w:rPr>
        <w:t xml:space="preserve">vas III &amp; Shock, </w:t>
      </w:r>
      <w:r w:rsidRPr="00CA0FBE">
        <w:rPr>
          <w:szCs w:val="24"/>
          <w:shd w:val="clear" w:color="auto" w:fill="FFFFFF"/>
        </w:rPr>
        <w:t>2016)</w:t>
      </w:r>
      <w:r w:rsidR="003F0C18">
        <w:rPr>
          <w:szCs w:val="24"/>
          <w:shd w:val="clear" w:color="auto" w:fill="FFFFFF"/>
        </w:rPr>
        <w:t xml:space="preserve">. Alternatively, the citric </w:t>
      </w:r>
      <w:r w:rsidR="006C48EB">
        <w:rPr>
          <w:szCs w:val="24"/>
          <w:shd w:val="clear" w:color="auto" w:fill="FFFFFF"/>
        </w:rPr>
        <w:t>acid pattern can</w:t>
      </w:r>
      <w:r w:rsidR="003F0C18">
        <w:rPr>
          <w:szCs w:val="24"/>
          <w:shd w:val="clear" w:color="auto" w:fill="FFFFFF"/>
        </w:rPr>
        <w:t xml:space="preserve"> be referred to as Krebs or tricarboxylic acid cycle.In the article, there is vivid development of methods for ascertaining the acceptable state data unavailable from the experiment. Besides, the study provides methods for predicting correlating values at elevated pressures and temperatures with the aid of </w:t>
      </w:r>
      <w:r w:rsidR="000E3386">
        <w:rPr>
          <w:szCs w:val="24"/>
          <w:shd w:val="clear" w:color="auto" w:fill="FFFFFF"/>
        </w:rPr>
        <w:t xml:space="preserve">revised </w:t>
      </w:r>
      <w:r w:rsidR="000E3386" w:rsidRPr="000E3386">
        <w:rPr>
          <w:color w:val="2E2E2E"/>
          <w:szCs w:val="24"/>
        </w:rPr>
        <w:t>Helgeson–Kirkham–Flowers (HKF)</w:t>
      </w:r>
      <w:hyperlink r:id="rId6" w:tooltip="Learn more about Equation of State from ScienceDirect's AI-generated Topic Pages" w:history="1">
        <w:r w:rsidR="003F0C18" w:rsidRPr="000E3386">
          <w:rPr>
            <w:rStyle w:val="Hyperlink"/>
            <w:color w:val="auto"/>
            <w:szCs w:val="24"/>
            <w:u w:val="none"/>
          </w:rPr>
          <w:t>equation of state</w:t>
        </w:r>
      </w:hyperlink>
      <w:r w:rsidR="003F0C18" w:rsidRPr="000E3386">
        <w:rPr>
          <w:color w:val="auto"/>
          <w:szCs w:val="24"/>
        </w:rPr>
        <w:t> for aqueous species</w:t>
      </w:r>
      <w:r>
        <w:rPr>
          <w:szCs w:val="24"/>
          <w:shd w:val="clear" w:color="auto" w:fill="FFFFFF"/>
        </w:rPr>
        <w:t>(</w:t>
      </w:r>
      <w:r w:rsidRPr="00CA0FBE">
        <w:rPr>
          <w:szCs w:val="24"/>
          <w:shd w:val="clear" w:color="auto" w:fill="FFFFFF"/>
        </w:rPr>
        <w:t>Cano</w:t>
      </w:r>
      <w:r>
        <w:rPr>
          <w:szCs w:val="24"/>
          <w:shd w:val="clear" w:color="auto" w:fill="FFFFFF"/>
        </w:rPr>
        <w:t xml:space="preserve">vas III &amp; Shock, </w:t>
      </w:r>
      <w:r w:rsidRPr="00CA0FBE">
        <w:rPr>
          <w:szCs w:val="24"/>
          <w:shd w:val="clear" w:color="auto" w:fill="FFFFFF"/>
        </w:rPr>
        <w:t>2016)</w:t>
      </w:r>
      <w:r w:rsidR="003F0C18" w:rsidRPr="000E3386">
        <w:rPr>
          <w:color w:val="auto"/>
          <w:szCs w:val="24"/>
        </w:rPr>
        <w:t>.</w:t>
      </w:r>
      <w:r w:rsidR="000E3386">
        <w:rPr>
          <w:color w:val="auto"/>
          <w:szCs w:val="24"/>
        </w:rPr>
        <w:t>Internal continuity is upheld by using standard state thermodynamic data for i</w:t>
      </w:r>
      <w:r>
        <w:rPr>
          <w:color w:val="auto"/>
          <w:szCs w:val="24"/>
        </w:rPr>
        <w:t xml:space="preserve">norganic and organic species, which is </w:t>
      </w:r>
      <w:r w:rsidR="000E3386">
        <w:rPr>
          <w:color w:val="auto"/>
          <w:szCs w:val="24"/>
        </w:rPr>
        <w:t>most</w:t>
      </w:r>
      <w:r>
        <w:rPr>
          <w:color w:val="auto"/>
          <w:szCs w:val="24"/>
        </w:rPr>
        <w:t>ly</w:t>
      </w:r>
      <w:r w:rsidR="000E3386">
        <w:rPr>
          <w:color w:val="auto"/>
          <w:szCs w:val="24"/>
        </w:rPr>
        <w:t xml:space="preserve"> involved in modeling and geochemical efforts. </w:t>
      </w:r>
    </w:p>
    <w:p w:rsidR="00AF3E38" w:rsidRDefault="00852EAD" w:rsidP="00AF3E38">
      <w:pPr>
        <w:spacing w:line="480" w:lineRule="auto"/>
        <w:ind w:firstLine="720"/>
        <w:rPr>
          <w:color w:val="auto"/>
          <w:szCs w:val="24"/>
          <w:shd w:val="clear" w:color="auto" w:fill="FFFFFF"/>
        </w:rPr>
      </w:pPr>
      <w:r>
        <w:rPr>
          <w:color w:val="auto"/>
          <w:szCs w:val="24"/>
          <w:shd w:val="clear" w:color="auto" w:fill="FFFFFF"/>
        </w:rPr>
        <w:lastRenderedPageBreak/>
        <w:t>Th</w:t>
      </w:r>
      <w:r>
        <w:rPr>
          <w:color w:val="auto"/>
          <w:szCs w:val="24"/>
          <w:shd w:val="clear" w:color="auto" w:fill="FFFFFF"/>
        </w:rPr>
        <w:t xml:space="preserve">e revised-HKF and standard rate data </w:t>
      </w:r>
      <w:r w:rsidR="004F7CFE">
        <w:rPr>
          <w:color w:val="auto"/>
          <w:szCs w:val="24"/>
          <w:shd w:val="clear" w:color="auto" w:fill="FFFFFF"/>
        </w:rPr>
        <w:t>parameters contribute hugely in estimating equilibrium dissociation restraint for the organic acids in the citric acid cycle</w:t>
      </w:r>
      <w:r>
        <w:rPr>
          <w:szCs w:val="24"/>
          <w:shd w:val="clear" w:color="auto" w:fill="FFFFFF"/>
        </w:rPr>
        <w:t>(</w:t>
      </w:r>
      <w:r w:rsidRPr="00CA0FBE">
        <w:rPr>
          <w:szCs w:val="24"/>
          <w:shd w:val="clear" w:color="auto" w:fill="FFFFFF"/>
        </w:rPr>
        <w:t>Cano</w:t>
      </w:r>
      <w:r>
        <w:rPr>
          <w:szCs w:val="24"/>
          <w:shd w:val="clear" w:color="auto" w:fill="FFFFFF"/>
        </w:rPr>
        <w:t xml:space="preserve">vas III &amp; Shock, </w:t>
      </w:r>
      <w:r w:rsidRPr="00CA0FBE">
        <w:rPr>
          <w:szCs w:val="24"/>
          <w:shd w:val="clear" w:color="auto" w:fill="FFFFFF"/>
        </w:rPr>
        <w:t>2016)</w:t>
      </w:r>
      <w:r w:rsidR="004F7CFE">
        <w:rPr>
          <w:color w:val="auto"/>
          <w:szCs w:val="24"/>
          <w:shd w:val="clear" w:color="auto" w:fill="FFFFFF"/>
        </w:rPr>
        <w:t xml:space="preserve">. Additionally, the settings are used to determine standard Gibbs energies of </w:t>
      </w:r>
      <w:r w:rsidR="00486485">
        <w:rPr>
          <w:color w:val="auto"/>
          <w:szCs w:val="24"/>
          <w:shd w:val="clear" w:color="auto" w:fill="FFFFFF"/>
        </w:rPr>
        <w:t>reactions at elevated pressures and temperatures for all steps in the cycle.</w:t>
      </w:r>
    </w:p>
    <w:p w:rsidR="00AF3E38" w:rsidRPr="00AF3E38" w:rsidRDefault="00852EAD" w:rsidP="00AF3E38">
      <w:pPr>
        <w:spacing w:line="480" w:lineRule="auto"/>
        <w:ind w:firstLine="720"/>
        <w:jc w:val="center"/>
        <w:rPr>
          <w:b/>
          <w:color w:val="auto"/>
          <w:szCs w:val="24"/>
          <w:shd w:val="clear" w:color="auto" w:fill="FFFFFF"/>
        </w:rPr>
      </w:pPr>
      <w:r w:rsidRPr="00AF3E38">
        <w:rPr>
          <w:b/>
          <w:color w:val="auto"/>
          <w:szCs w:val="24"/>
          <w:shd w:val="clear" w:color="auto" w:fill="FFFFFF"/>
        </w:rPr>
        <w:t>Conclusion</w:t>
      </w:r>
    </w:p>
    <w:p w:rsidR="00CA0FBE" w:rsidRPr="006C48EB" w:rsidRDefault="00852EAD" w:rsidP="00AF3E38">
      <w:pPr>
        <w:spacing w:line="480" w:lineRule="auto"/>
        <w:ind w:firstLine="720"/>
        <w:rPr>
          <w:color w:val="auto"/>
          <w:szCs w:val="24"/>
          <w:shd w:val="clear" w:color="auto" w:fill="FFFFFF"/>
        </w:rPr>
      </w:pPr>
      <w:r>
        <w:rPr>
          <w:color w:val="auto"/>
          <w:szCs w:val="24"/>
          <w:shd w:val="clear" w:color="auto" w:fill="FFFFFF"/>
        </w:rPr>
        <w:t>All in all, t</w:t>
      </w:r>
      <w:r w:rsidR="00486485">
        <w:rPr>
          <w:color w:val="auto"/>
          <w:szCs w:val="24"/>
          <w:shd w:val="clear" w:color="auto" w:fill="FFFFFF"/>
        </w:rPr>
        <w:t>he results presented in the article can be utilized together with scientific data from experimental and natural systems to estimate the power and energy demands of microorganisms</w:t>
      </w:r>
      <w:r w:rsidR="006C48EB">
        <w:rPr>
          <w:color w:val="auto"/>
          <w:szCs w:val="24"/>
          <w:shd w:val="clear" w:color="auto" w:fill="FFFFFF"/>
        </w:rPr>
        <w:t xml:space="preserve">. The assessment process must take into consideration the habitable ranges of both temperatures and pressures.    </w:t>
      </w:r>
    </w:p>
    <w:p w:rsidR="00CA0FBE" w:rsidRDefault="00CA0FBE" w:rsidP="00AF3E38">
      <w:pPr>
        <w:spacing w:line="480" w:lineRule="auto"/>
        <w:ind w:left="720"/>
        <w:rPr>
          <w:szCs w:val="24"/>
          <w:shd w:val="clear" w:color="auto" w:fill="FFFFFF"/>
        </w:rPr>
      </w:pPr>
    </w:p>
    <w:p w:rsidR="00AF3E38" w:rsidRDefault="00AF3E38" w:rsidP="00AF3E38">
      <w:pPr>
        <w:spacing w:line="480" w:lineRule="auto"/>
        <w:ind w:left="720"/>
        <w:rPr>
          <w:szCs w:val="24"/>
        </w:rPr>
      </w:pPr>
    </w:p>
    <w:p w:rsidR="00AF3E38" w:rsidRDefault="00AF3E38" w:rsidP="00AF3E38">
      <w:pPr>
        <w:spacing w:line="480" w:lineRule="auto"/>
        <w:ind w:left="720"/>
        <w:rPr>
          <w:szCs w:val="24"/>
        </w:rPr>
      </w:pPr>
    </w:p>
    <w:p w:rsidR="00AF3E38" w:rsidRDefault="00AF3E38" w:rsidP="00AF3E38">
      <w:pPr>
        <w:spacing w:line="480" w:lineRule="auto"/>
        <w:ind w:left="720"/>
        <w:rPr>
          <w:szCs w:val="24"/>
        </w:rPr>
      </w:pPr>
    </w:p>
    <w:p w:rsidR="00AF3E38" w:rsidRDefault="00AF3E38" w:rsidP="00AF3E38">
      <w:pPr>
        <w:spacing w:line="480" w:lineRule="auto"/>
        <w:ind w:left="720"/>
        <w:rPr>
          <w:szCs w:val="24"/>
        </w:rPr>
      </w:pPr>
    </w:p>
    <w:p w:rsidR="00AF3E38" w:rsidRDefault="00AF3E38" w:rsidP="00AF3E38">
      <w:pPr>
        <w:spacing w:line="480" w:lineRule="auto"/>
        <w:ind w:left="720"/>
        <w:rPr>
          <w:szCs w:val="24"/>
        </w:rPr>
      </w:pPr>
    </w:p>
    <w:p w:rsidR="00AF3E38" w:rsidRDefault="00AF3E38" w:rsidP="00AF3E38">
      <w:pPr>
        <w:spacing w:line="480" w:lineRule="auto"/>
        <w:ind w:left="720"/>
        <w:rPr>
          <w:szCs w:val="24"/>
        </w:rPr>
      </w:pPr>
    </w:p>
    <w:p w:rsidR="00AF3E38" w:rsidRDefault="00AF3E38" w:rsidP="00AF3E38">
      <w:pPr>
        <w:spacing w:line="480" w:lineRule="auto"/>
        <w:ind w:left="720"/>
        <w:rPr>
          <w:szCs w:val="24"/>
        </w:rPr>
      </w:pPr>
    </w:p>
    <w:p w:rsidR="00AF3E38" w:rsidRDefault="00AF3E38" w:rsidP="00AF3E38">
      <w:pPr>
        <w:spacing w:line="480" w:lineRule="auto"/>
        <w:ind w:left="720"/>
        <w:rPr>
          <w:szCs w:val="24"/>
        </w:rPr>
      </w:pPr>
    </w:p>
    <w:p w:rsidR="00AF3E38" w:rsidRDefault="00AF3E38" w:rsidP="00AF3E38">
      <w:pPr>
        <w:spacing w:line="480" w:lineRule="auto"/>
        <w:ind w:left="720"/>
        <w:rPr>
          <w:szCs w:val="24"/>
        </w:rPr>
      </w:pPr>
    </w:p>
    <w:p w:rsidR="00AF3E38" w:rsidRDefault="00AF3E38" w:rsidP="00AF3E38">
      <w:pPr>
        <w:spacing w:line="480" w:lineRule="auto"/>
        <w:ind w:left="720"/>
        <w:rPr>
          <w:szCs w:val="24"/>
        </w:rPr>
      </w:pPr>
    </w:p>
    <w:p w:rsidR="00CA0FBE" w:rsidRDefault="00852EAD" w:rsidP="00AF3E38">
      <w:pPr>
        <w:spacing w:line="480" w:lineRule="auto"/>
        <w:ind w:left="720"/>
        <w:jc w:val="center"/>
        <w:rPr>
          <w:szCs w:val="24"/>
        </w:rPr>
      </w:pPr>
      <w:r>
        <w:rPr>
          <w:szCs w:val="24"/>
        </w:rPr>
        <w:lastRenderedPageBreak/>
        <w:t>Reference</w:t>
      </w:r>
    </w:p>
    <w:p w:rsidR="00AF3E38" w:rsidRDefault="00852EAD" w:rsidP="00AF3E38">
      <w:pPr>
        <w:spacing w:line="480" w:lineRule="auto"/>
        <w:rPr>
          <w:szCs w:val="24"/>
          <w:shd w:val="clear" w:color="auto" w:fill="FFFFFF"/>
        </w:rPr>
      </w:pPr>
      <w:r w:rsidRPr="00CA0FBE">
        <w:rPr>
          <w:szCs w:val="24"/>
          <w:shd w:val="clear" w:color="auto" w:fill="FFFFFF"/>
        </w:rPr>
        <w:t>Canovas III, P. A.,</w:t>
      </w:r>
      <w:r w:rsidRPr="00CA0FBE">
        <w:rPr>
          <w:szCs w:val="24"/>
          <w:shd w:val="clear" w:color="auto" w:fill="FFFFFF"/>
        </w:rPr>
        <w:t xml:space="preserve"> &amp; Shock, E. L. (2016). Geobiochemistry of metabolism: Standard state </w:t>
      </w:r>
    </w:p>
    <w:p w:rsidR="00AF3E38" w:rsidRDefault="00852EAD" w:rsidP="00AF3E38">
      <w:pPr>
        <w:spacing w:line="480" w:lineRule="auto"/>
        <w:ind w:left="720"/>
        <w:rPr>
          <w:szCs w:val="24"/>
          <w:shd w:val="clear" w:color="auto" w:fill="FFFFFF"/>
        </w:rPr>
      </w:pPr>
      <w:r w:rsidRPr="00CA0FBE">
        <w:rPr>
          <w:szCs w:val="24"/>
          <w:shd w:val="clear" w:color="auto" w:fill="FFFFFF"/>
        </w:rPr>
        <w:t>thermodynamic properties of the citric acid cycle. </w:t>
      </w:r>
      <w:r w:rsidRPr="00CA0FBE">
        <w:rPr>
          <w:i/>
          <w:iCs/>
          <w:szCs w:val="24"/>
          <w:shd w:val="clear" w:color="auto" w:fill="FFFFFF"/>
        </w:rPr>
        <w:t>GeochimicaetCosmochimicaActa</w:t>
      </w:r>
      <w:r w:rsidRPr="00CA0FBE">
        <w:rPr>
          <w:szCs w:val="24"/>
          <w:shd w:val="clear" w:color="auto" w:fill="FFFFFF"/>
        </w:rPr>
        <w:t>, </w:t>
      </w:r>
      <w:r w:rsidRPr="00CA0FBE">
        <w:rPr>
          <w:i/>
          <w:iCs/>
          <w:szCs w:val="24"/>
          <w:shd w:val="clear" w:color="auto" w:fill="FFFFFF"/>
        </w:rPr>
        <w:t>195</w:t>
      </w:r>
      <w:r w:rsidRPr="00CA0FBE">
        <w:rPr>
          <w:szCs w:val="24"/>
          <w:shd w:val="clear" w:color="auto" w:fill="FFFFFF"/>
        </w:rPr>
        <w:t>, 293-322.</w:t>
      </w:r>
    </w:p>
    <w:p w:rsidR="00AF3E38" w:rsidRPr="00CA0FBE" w:rsidRDefault="00AF3E38" w:rsidP="00AF3E38">
      <w:pPr>
        <w:spacing w:line="480" w:lineRule="auto"/>
        <w:rPr>
          <w:szCs w:val="24"/>
        </w:rPr>
      </w:pPr>
    </w:p>
    <w:sectPr w:rsidR="00AF3E38" w:rsidRPr="00CA0FBE" w:rsidSect="00C21A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EAD" w:rsidRDefault="00852EAD" w:rsidP="009D7FCF">
      <w:pPr>
        <w:spacing w:after="0" w:line="240" w:lineRule="auto"/>
      </w:pPr>
      <w:r>
        <w:separator/>
      </w:r>
    </w:p>
  </w:endnote>
  <w:endnote w:type="continuationSeparator" w:id="1">
    <w:p w:rsidR="00852EAD" w:rsidRDefault="00852EAD" w:rsidP="009D7F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EAD" w:rsidRDefault="00852EAD" w:rsidP="009D7FCF">
      <w:pPr>
        <w:spacing w:after="0" w:line="240" w:lineRule="auto"/>
      </w:pPr>
      <w:r>
        <w:separator/>
      </w:r>
    </w:p>
  </w:footnote>
  <w:footnote w:type="continuationSeparator" w:id="1">
    <w:p w:rsidR="00852EAD" w:rsidRDefault="00852EAD" w:rsidP="009D7F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4719531"/>
      <w:docPartObj>
        <w:docPartGallery w:val="Page Numbers (Top of Page)"/>
        <w:docPartUnique/>
      </w:docPartObj>
    </w:sdtPr>
    <w:sdtEndPr>
      <w:rPr>
        <w:noProof/>
      </w:rPr>
    </w:sdtEndPr>
    <w:sdtContent>
      <w:p w:rsidR="00C21A24" w:rsidRDefault="00852EAD" w:rsidP="00C21A24">
        <w:pPr>
          <w:pStyle w:val="Header"/>
        </w:pPr>
        <w:r>
          <w:t xml:space="preserve">ARTICLE REVIEW                                                                                                                        </w:t>
        </w:r>
        <w:r w:rsidR="009D7FCF">
          <w:fldChar w:fldCharType="begin"/>
        </w:r>
        <w:r>
          <w:instrText xml:space="preserve"> PAGE   \* MERGEFORMAT </w:instrText>
        </w:r>
        <w:r w:rsidR="009D7FCF">
          <w:fldChar w:fldCharType="separate"/>
        </w:r>
        <w:r w:rsidR="007049F6">
          <w:rPr>
            <w:noProof/>
          </w:rPr>
          <w:t>4</w:t>
        </w:r>
        <w:r w:rsidR="009D7FCF">
          <w:rPr>
            <w:noProof/>
          </w:rPr>
          <w:fldChar w:fldCharType="end"/>
        </w:r>
      </w:p>
    </w:sdtContent>
  </w:sdt>
  <w:p w:rsidR="00C21A24" w:rsidRDefault="00C21A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1711183"/>
      <w:docPartObj>
        <w:docPartGallery w:val="Page Numbers (Top of Page)"/>
        <w:docPartUnique/>
      </w:docPartObj>
    </w:sdtPr>
    <w:sdtEndPr>
      <w:rPr>
        <w:noProof/>
      </w:rPr>
    </w:sdtEndPr>
    <w:sdtContent>
      <w:p w:rsidR="00C21A24" w:rsidRDefault="00852EAD" w:rsidP="00C21A24">
        <w:pPr>
          <w:pStyle w:val="Header"/>
        </w:pPr>
        <w:r>
          <w:t xml:space="preserve">Running head: ARTICLE REVIEW        </w:t>
        </w:r>
        <w:r w:rsidR="00304978">
          <w:t xml:space="preserve">                                                                             </w:t>
        </w:r>
        <w:r>
          <w:t xml:space="preserve">   </w:t>
        </w:r>
        <w:r w:rsidR="009D7FCF">
          <w:fldChar w:fldCharType="begin"/>
        </w:r>
        <w:r>
          <w:instrText xml:space="preserve"> PAGE   \* MERGEFORMAT </w:instrText>
        </w:r>
        <w:r w:rsidR="009D7FCF">
          <w:fldChar w:fldCharType="separate"/>
        </w:r>
        <w:r w:rsidR="007049F6">
          <w:rPr>
            <w:noProof/>
          </w:rPr>
          <w:t>1</w:t>
        </w:r>
        <w:r w:rsidR="009D7FCF">
          <w:rPr>
            <w:noProof/>
          </w:rPr>
          <w:fldChar w:fldCharType="end"/>
        </w:r>
      </w:p>
    </w:sdtContent>
  </w:sdt>
  <w:p w:rsidR="00C21A24" w:rsidRDefault="00C21A2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06C2"/>
    <w:rsid w:val="000E3386"/>
    <w:rsid w:val="00246557"/>
    <w:rsid w:val="00304978"/>
    <w:rsid w:val="003F0C18"/>
    <w:rsid w:val="00486485"/>
    <w:rsid w:val="004F7CFE"/>
    <w:rsid w:val="00684C8B"/>
    <w:rsid w:val="006C43B9"/>
    <w:rsid w:val="006C48EB"/>
    <w:rsid w:val="007049F6"/>
    <w:rsid w:val="00852EAD"/>
    <w:rsid w:val="009D7FCF"/>
    <w:rsid w:val="00A006C2"/>
    <w:rsid w:val="00AF3E38"/>
    <w:rsid w:val="00C21A24"/>
    <w:rsid w:val="00CA0F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F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0FBE"/>
    <w:rPr>
      <w:color w:val="0000FF"/>
      <w:u w:val="single"/>
    </w:rPr>
  </w:style>
  <w:style w:type="paragraph" w:styleId="Header">
    <w:name w:val="header"/>
    <w:basedOn w:val="Normal"/>
    <w:link w:val="HeaderChar"/>
    <w:uiPriority w:val="99"/>
    <w:unhideWhenUsed/>
    <w:rsid w:val="00C21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A24"/>
  </w:style>
  <w:style w:type="paragraph" w:styleId="Footer">
    <w:name w:val="footer"/>
    <w:basedOn w:val="Normal"/>
    <w:link w:val="FooterChar"/>
    <w:uiPriority w:val="99"/>
    <w:unhideWhenUsed/>
    <w:rsid w:val="00C21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A2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equation-of-st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2020-03-20T12:51:00Z</dcterms:created>
  <dcterms:modified xsi:type="dcterms:W3CDTF">2020-03-20T12:51:00Z</dcterms:modified>
</cp:coreProperties>
</file>